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687"/>
        <w:gridCol w:w="709"/>
        <w:gridCol w:w="567"/>
        <w:gridCol w:w="1276"/>
        <w:gridCol w:w="992"/>
        <w:gridCol w:w="1701"/>
      </w:tblGrid>
      <w:tr w:rsidR="00DF7C65" w:rsidRPr="00212A4A" w:rsidTr="00DF7C65">
        <w:trPr>
          <w:trHeight w:val="501"/>
        </w:trPr>
        <w:tc>
          <w:tcPr>
            <w:tcW w:w="700" w:type="dxa"/>
          </w:tcPr>
          <w:p w:rsidR="00DF7C65" w:rsidRPr="00212A4A" w:rsidRDefault="00DF7C65" w:rsidP="00CF11A0">
            <w:pPr>
              <w:rPr>
                <w:b/>
                <w:bCs/>
              </w:rPr>
            </w:pPr>
            <w:proofErr w:type="spellStart"/>
            <w:proofErr w:type="gramStart"/>
            <w:r w:rsidRPr="00212A4A">
              <w:rPr>
                <w:b/>
                <w:bCs/>
              </w:rPr>
              <w:t>п</w:t>
            </w:r>
            <w:proofErr w:type="spellEnd"/>
            <w:proofErr w:type="gramEnd"/>
            <w:r w:rsidRPr="00212A4A">
              <w:rPr>
                <w:b/>
                <w:bCs/>
              </w:rPr>
              <w:t>/</w:t>
            </w:r>
            <w:proofErr w:type="spellStart"/>
            <w:r w:rsidRPr="00212A4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87" w:type="dxa"/>
          </w:tcPr>
          <w:p w:rsidR="00DF7C65" w:rsidRPr="00212A4A" w:rsidRDefault="00DF7C65" w:rsidP="00CF11A0">
            <w:pPr>
              <w:jc w:val="center"/>
              <w:rPr>
                <w:b/>
                <w:bCs/>
              </w:rPr>
            </w:pPr>
            <w:r w:rsidRPr="00212A4A">
              <w:rPr>
                <w:b/>
                <w:bCs/>
              </w:rPr>
              <w:t>Наименование товара</w:t>
            </w:r>
          </w:p>
        </w:tc>
        <w:tc>
          <w:tcPr>
            <w:tcW w:w="709" w:type="dxa"/>
          </w:tcPr>
          <w:p w:rsidR="00DF7C65" w:rsidRPr="00212A4A" w:rsidRDefault="00DF7C65" w:rsidP="00CF11A0">
            <w:pPr>
              <w:rPr>
                <w:b/>
                <w:bCs/>
              </w:rPr>
            </w:pPr>
            <w:r w:rsidRPr="00212A4A">
              <w:rPr>
                <w:b/>
                <w:bCs/>
              </w:rPr>
              <w:t xml:space="preserve">Ед. </w:t>
            </w:r>
            <w:proofErr w:type="spellStart"/>
            <w:r w:rsidRPr="00212A4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567" w:type="dxa"/>
          </w:tcPr>
          <w:p w:rsidR="00DF7C65" w:rsidRPr="00212A4A" w:rsidRDefault="00DF7C65" w:rsidP="00CF11A0">
            <w:pPr>
              <w:rPr>
                <w:b/>
                <w:bCs/>
              </w:rPr>
            </w:pPr>
            <w:r w:rsidRPr="00212A4A">
              <w:rPr>
                <w:b/>
                <w:bCs/>
              </w:rPr>
              <w:t>Кол-во</w:t>
            </w:r>
          </w:p>
        </w:tc>
        <w:tc>
          <w:tcPr>
            <w:tcW w:w="1276" w:type="dxa"/>
          </w:tcPr>
          <w:p w:rsidR="00DF7C65" w:rsidRPr="00212A4A" w:rsidRDefault="00DF7C65" w:rsidP="00CF11A0">
            <w:pPr>
              <w:rPr>
                <w:b/>
                <w:bCs/>
              </w:rPr>
            </w:pPr>
            <w:r w:rsidRPr="00212A4A">
              <w:rPr>
                <w:b/>
                <w:bCs/>
              </w:rPr>
              <w:t>Цена за ед.</w:t>
            </w:r>
          </w:p>
        </w:tc>
        <w:tc>
          <w:tcPr>
            <w:tcW w:w="992" w:type="dxa"/>
          </w:tcPr>
          <w:p w:rsidR="00DF7C65" w:rsidRPr="00212A4A" w:rsidRDefault="00DF7C65" w:rsidP="00CF11A0">
            <w:pPr>
              <w:rPr>
                <w:b/>
                <w:bCs/>
              </w:rPr>
            </w:pPr>
            <w:r w:rsidRPr="00212A4A">
              <w:rPr>
                <w:b/>
                <w:bCs/>
              </w:rPr>
              <w:t>Сумма</w:t>
            </w:r>
          </w:p>
        </w:tc>
        <w:tc>
          <w:tcPr>
            <w:tcW w:w="1701" w:type="dxa"/>
          </w:tcPr>
          <w:p w:rsidR="00DF7C65" w:rsidRPr="00212A4A" w:rsidRDefault="00DF7C65" w:rsidP="00CF11A0">
            <w:pPr>
              <w:rPr>
                <w:b/>
                <w:bCs/>
              </w:rPr>
            </w:pPr>
            <w:r w:rsidRPr="00212A4A">
              <w:rPr>
                <w:b/>
                <w:bCs/>
              </w:rPr>
              <w:t>Срок поставки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Набор </w:t>
            </w:r>
            <w:proofErr w:type="spellStart"/>
            <w:r w:rsidRPr="001A30FD">
              <w:rPr>
                <w:sz w:val="18"/>
                <w:szCs w:val="18"/>
              </w:rPr>
              <w:t>LABScreenMixed</w:t>
            </w:r>
            <w:proofErr w:type="spellEnd"/>
            <w:r w:rsidRPr="001A30FD">
              <w:rPr>
                <w:sz w:val="18"/>
                <w:szCs w:val="18"/>
              </w:rPr>
              <w:t xml:space="preserve"> для скрининга антител к HLA-антигенам  классов I  и II , 100 тестов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proofErr w:type="spellStart"/>
            <w:r w:rsidRPr="001A30FD"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1 403 763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8422578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Набор </w:t>
            </w:r>
            <w:proofErr w:type="spellStart"/>
            <w:r w:rsidRPr="001A30FD">
              <w:rPr>
                <w:sz w:val="18"/>
                <w:szCs w:val="18"/>
              </w:rPr>
              <w:t>LABScreen</w:t>
            </w:r>
            <w:proofErr w:type="spellEnd"/>
            <w:r w:rsidRPr="001A30FD">
              <w:rPr>
                <w:sz w:val="18"/>
                <w:szCs w:val="18"/>
              </w:rPr>
              <w:t xml:space="preserve"> PRA для определения антител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proofErr w:type="spellStart"/>
            <w:r w:rsidRPr="001A30FD">
              <w:rPr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1 413 684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5654736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Пластины электроды </w:t>
            </w:r>
            <w:proofErr w:type="spellStart"/>
            <w:r w:rsidRPr="001A30FD">
              <w:rPr>
                <w:sz w:val="18"/>
                <w:szCs w:val="18"/>
              </w:rPr>
              <w:t>запающиеся</w:t>
            </w:r>
            <w:proofErr w:type="spellEnd"/>
            <w:r w:rsidRPr="001A30FD">
              <w:rPr>
                <w:sz w:val="18"/>
                <w:szCs w:val="18"/>
              </w:rPr>
              <w:t xml:space="preserve"> для </w:t>
            </w:r>
            <w:proofErr w:type="spellStart"/>
            <w:r w:rsidRPr="001A30FD">
              <w:rPr>
                <w:sz w:val="18"/>
                <w:szCs w:val="18"/>
              </w:rPr>
              <w:t>ассептического</w:t>
            </w:r>
            <w:proofErr w:type="spellEnd"/>
            <w:r w:rsidRPr="001A30FD">
              <w:rPr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sz w:val="18"/>
                <w:szCs w:val="18"/>
              </w:rPr>
              <w:t>коннектора</w:t>
            </w:r>
            <w:proofErr w:type="spellEnd"/>
            <w:r w:rsidRPr="001A30FD">
              <w:rPr>
                <w:sz w:val="18"/>
                <w:szCs w:val="18"/>
              </w:rPr>
              <w:t>, "Предназначены для использования совместно с устройством для стерильного соединения пластиковых магистралей.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DF7C65" w:rsidRDefault="00DF7C65" w:rsidP="00CF11A0">
            <w:pPr>
              <w:jc w:val="center"/>
              <w:rPr>
                <w:sz w:val="18"/>
                <w:szCs w:val="18"/>
              </w:rPr>
            </w:pPr>
            <w:r w:rsidRPr="00AF773D">
              <w:rPr>
                <w:sz w:val="18"/>
                <w:szCs w:val="18"/>
              </w:rPr>
              <w:t>штук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420</w:t>
            </w:r>
            <w:r w:rsidR="00C11C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827400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1A30FD">
              <w:rPr>
                <w:sz w:val="18"/>
                <w:szCs w:val="18"/>
              </w:rPr>
              <w:t>амплификаторах</w:t>
            </w:r>
            <w:proofErr w:type="spellEnd"/>
            <w:r w:rsidRPr="001A30FD">
              <w:rPr>
                <w:sz w:val="18"/>
                <w:szCs w:val="18"/>
              </w:rPr>
              <w:t xml:space="preserve"> для диагностики антигенов системы HLA I и II классов (HLA-A*/B*/DRB1*) методом ПЦР SSP одного образца на одном 96-ти луночном планшете </w:t>
            </w:r>
            <w:r w:rsidRPr="001A30FD">
              <w:rPr>
                <w:sz w:val="18"/>
                <w:szCs w:val="18"/>
              </w:rPr>
              <w:br/>
            </w:r>
            <w:proofErr w:type="spellStart"/>
            <w:r w:rsidRPr="001A30FD">
              <w:rPr>
                <w:sz w:val="18"/>
                <w:szCs w:val="18"/>
              </w:rPr>
              <w:t>Упкаковка</w:t>
            </w:r>
            <w:proofErr w:type="spellEnd"/>
            <w:r w:rsidRPr="001A30FD">
              <w:rPr>
                <w:sz w:val="18"/>
                <w:szCs w:val="18"/>
              </w:rPr>
              <w:t xml:space="preserve">  - 20 планшетов</w:t>
            </w: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1A30FD">
              <w:rPr>
                <w:bCs/>
                <w:sz w:val="18"/>
                <w:szCs w:val="18"/>
                <w:lang w:val="kk-KZ"/>
              </w:rPr>
              <w:t>872 539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bCs/>
                <w:sz w:val="18"/>
                <w:szCs w:val="18"/>
                <w:lang w:val="kk-KZ"/>
              </w:rPr>
              <w:t>872 539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lastRenderedPageBreak/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  <w:lang w:val="kk-KZ"/>
              </w:rPr>
              <w:t xml:space="preserve">Проточная жидкость 20 литров. </w:t>
            </w:r>
            <w:r w:rsidRPr="001A30FD">
              <w:rPr>
                <w:color w:val="000000"/>
                <w:sz w:val="18"/>
                <w:szCs w:val="18"/>
              </w:rPr>
              <w:t>Область назначения: Проточная жидкость для оборудования для HLA-исследований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Требования к техническим характеристикам: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Проточная жидкость необходима для доставки образцов к оптической системе мультиплексного анализатора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LABScan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3D.                                                   Комплектация: Количество – 20 литров во флаконе.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Условия хранения: Температура хранения – комнатная.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A30FD">
              <w:rPr>
                <w:color w:val="000000"/>
                <w:sz w:val="18"/>
                <w:szCs w:val="18"/>
              </w:rPr>
              <w:t>ф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rPr>
                <w:bCs/>
                <w:sz w:val="18"/>
                <w:szCs w:val="18"/>
                <w:lang w:val="kk-KZ"/>
              </w:rPr>
            </w:pPr>
            <w:r w:rsidRPr="001A30FD">
              <w:rPr>
                <w:bCs/>
                <w:sz w:val="18"/>
                <w:szCs w:val="18"/>
                <w:lang w:val="kk-KZ"/>
              </w:rPr>
              <w:t>122 826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122826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30FD">
              <w:rPr>
                <w:color w:val="000000"/>
                <w:sz w:val="18"/>
                <w:szCs w:val="18"/>
              </w:rPr>
              <w:t>Конъюгат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фикоэритрина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для реагентов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®, 1000 тестов. Назначения: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конъюгат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фикоэритрина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поликлональных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козьих античеловеческих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IgG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A30FD">
              <w:rPr>
                <w:color w:val="000000"/>
                <w:sz w:val="18"/>
                <w:szCs w:val="18"/>
              </w:rPr>
              <w:t>предназначенный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 xml:space="preserve"> для обнаружения человеческих иммуноглобулинов класса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IgG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с наборами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LABScreenMulti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>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Функциональность: вспомогательный контрольный реагент для наборов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. 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Техническая характеристика: 1 мл флакона в фольге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Область применения: определение HLA-антител для трансплантации органов, для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invitro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диагностики.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Условия хранения: транспортировка проводится в сухом льду. Хранить при температуре от 2 до 8 ° C.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1A30FD">
              <w:rPr>
                <w:bCs/>
                <w:sz w:val="18"/>
                <w:szCs w:val="18"/>
                <w:lang w:val="kk-KZ"/>
              </w:rPr>
              <w:t>272 411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544 822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Отрицательный контроль для реагентов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®, 10 тестов. Негативная сыворотка используется в качестве контроля не специфического фонового сигнала с наборами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LABScreenMulti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>, так как не содержит антител против HLA-антигенов I и II-классов.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Упаковка содержит одну пробирку объемом 400 мкл.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Транспортировка проводится в сухом льду.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Температура хранения – 20</w:t>
            </w:r>
            <w:proofErr w:type="gramStart"/>
            <w:r w:rsidRPr="001A30FD">
              <w:rPr>
                <w:color w:val="000000"/>
                <w:sz w:val="18"/>
                <w:szCs w:val="18"/>
              </w:rPr>
              <w:t>°С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>, или ниже.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Количество определений – 10.</w:t>
            </w: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Совместимость с реагентами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LABScreenMulti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94 759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284277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ти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Комплемент кроличий, в упаковке 5 флаконов по 1 мл,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Rabbit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complement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lyophilized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5x1мл. Область назначения: Кроличий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комплемент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изпользуется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качетсве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комплемента для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лимфоцитотоксического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теста, в котором применятся лимфоциты периферической крови человека. Функциональность: Комплемент кроличий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30FD">
              <w:rPr>
                <w:color w:val="000000"/>
                <w:sz w:val="18"/>
                <w:szCs w:val="18"/>
              </w:rPr>
              <w:t>–п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 xml:space="preserve">олучен из пула сывороток здоровых кроликов. Комплемент должен вызывать специфический лизис 80-100% лимфоцитов в стандартном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лимфоцитотоксическом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тесте. Техническая характеристика: Сухое порошкообразное вещество Область применения: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лимфоцитотоксический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тест Комплектация: </w:t>
            </w:r>
            <w:proofErr w:type="gramStart"/>
            <w:r w:rsidRPr="001A30FD">
              <w:rPr>
                <w:color w:val="000000"/>
                <w:sz w:val="18"/>
                <w:szCs w:val="18"/>
              </w:rPr>
              <w:t>флакон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 xml:space="preserve"> содержащий 1 мл сухого вещества Условия хранения: </w:t>
            </w:r>
            <w:proofErr w:type="gramStart"/>
            <w:r w:rsidRPr="001A30FD">
              <w:rPr>
                <w:color w:val="000000"/>
                <w:sz w:val="18"/>
                <w:szCs w:val="18"/>
              </w:rPr>
              <w:t>Храниться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 xml:space="preserve"> и транспортируется при температуре минус 20°С.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DF7C65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36 085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ти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lastRenderedPageBreak/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гистотипирующих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сывороток в 72-х луночном планшете для определения антигенов системы HLA локусов AB</w:t>
            </w:r>
            <w:proofErr w:type="gramStart"/>
            <w:r w:rsidRPr="001A30F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A30FD">
              <w:rPr>
                <w:color w:val="000000"/>
                <w:sz w:val="18"/>
                <w:szCs w:val="18"/>
              </w:rPr>
              <w:t xml:space="preserve">, набор рассчитан на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типирование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5-х образцов. Область назначения: диагностические наборы HLA - READY PLATE ABC 144 предназначены для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vitro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диагностики HLA антигенов в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комплементзависимом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микролимфоцитотоксическом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тесте.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AF773D">
            <w:pPr>
              <w:jc w:val="center"/>
              <w:rPr>
                <w:color w:val="000000"/>
                <w:sz w:val="18"/>
                <w:szCs w:val="18"/>
              </w:rPr>
            </w:pPr>
            <w:r w:rsidRPr="001A30FD">
              <w:rPr>
                <w:color w:val="333333"/>
                <w:sz w:val="18"/>
                <w:szCs w:val="18"/>
                <w:shd w:val="clear" w:color="auto" w:fill="FFFFFF"/>
              </w:rPr>
              <w:t>244 339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AF773D" w:rsidP="00CF11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color w:val="000000"/>
                <w:sz w:val="18"/>
                <w:szCs w:val="18"/>
              </w:rPr>
            </w:pPr>
            <w:r w:rsidRPr="001A30FD">
              <w:rPr>
                <w:color w:val="000000"/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color w:val="000000"/>
                <w:sz w:val="18"/>
                <w:szCs w:val="18"/>
              </w:rPr>
              <w:t>ти</w:t>
            </w:r>
            <w:proofErr w:type="spellEnd"/>
            <w:r w:rsidRPr="001A30FD">
              <w:rPr>
                <w:color w:val="000000"/>
                <w:sz w:val="18"/>
                <w:szCs w:val="18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DF7C65" w:rsidRPr="00212A4A" w:rsidTr="00DF7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212A4A" w:rsidRDefault="00DF7C65" w:rsidP="00CF11A0">
            <w:pPr>
              <w:rPr>
                <w:bCs/>
              </w:rPr>
            </w:pPr>
            <w:r w:rsidRPr="00212A4A">
              <w:rPr>
                <w:bCs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1A30FD">
              <w:rPr>
                <w:sz w:val="18"/>
                <w:szCs w:val="18"/>
              </w:rPr>
              <w:t>HLA-антиител</w:t>
            </w:r>
            <w:proofErr w:type="spellEnd"/>
            <w:r w:rsidRPr="001A30FD">
              <w:rPr>
                <w:sz w:val="18"/>
                <w:szCs w:val="18"/>
              </w:rPr>
              <w:t xml:space="preserve"> класса I и II  методом ИФА уп=40 тестов</w:t>
            </w:r>
            <w:proofErr w:type="gramStart"/>
            <w:r w:rsidRPr="001A30FD">
              <w:rPr>
                <w:sz w:val="18"/>
                <w:szCs w:val="18"/>
              </w:rPr>
              <w:t xml:space="preserve"> .</w:t>
            </w:r>
            <w:proofErr w:type="gramEnd"/>
            <w:r w:rsidRPr="001A30FD">
              <w:rPr>
                <w:sz w:val="18"/>
                <w:szCs w:val="18"/>
              </w:rPr>
              <w:t xml:space="preserve"> Назначения: предназначен для определения специфических HLA-антител в сыворотке крови пациентов до и после трансплантации органов.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Функциональность: анализ с помощью наборов LAT™ превосходно соотносится с </w:t>
            </w:r>
            <w:proofErr w:type="spellStart"/>
            <w:r w:rsidRPr="001A30FD">
              <w:rPr>
                <w:sz w:val="18"/>
                <w:szCs w:val="18"/>
              </w:rPr>
              <w:t>лимфоцитотоксическим</w:t>
            </w:r>
            <w:proofErr w:type="spellEnd"/>
            <w:r w:rsidRPr="001A30FD">
              <w:rPr>
                <w:sz w:val="18"/>
                <w:szCs w:val="18"/>
              </w:rPr>
              <w:t xml:space="preserve"> методом на наборах LCT для определения антител к HLA класса I и II. Набор на 40 исследовании.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Техническая характеристика: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Набор состоит из 10 </w:t>
            </w:r>
            <w:proofErr w:type="spellStart"/>
            <w:r w:rsidRPr="001A30FD">
              <w:rPr>
                <w:sz w:val="18"/>
                <w:szCs w:val="18"/>
              </w:rPr>
              <w:t>микропланшет</w:t>
            </w:r>
            <w:proofErr w:type="spellEnd"/>
            <w:r w:rsidRPr="001A30FD">
              <w:rPr>
                <w:sz w:val="18"/>
                <w:szCs w:val="18"/>
              </w:rPr>
              <w:t xml:space="preserve"> с антигенами HLA, и наборами реагентов необходимых для постановки ИФА анализа, набор рассчитан на 40 определении.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Область применения: Определение HLA-антител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Комплектация: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1. Планшеты </w:t>
            </w:r>
            <w:proofErr w:type="spellStart"/>
            <w:r w:rsidRPr="001A30FD">
              <w:rPr>
                <w:sz w:val="18"/>
                <w:szCs w:val="18"/>
              </w:rPr>
              <w:t>Micro-ELISA</w:t>
            </w:r>
            <w:proofErr w:type="spellEnd"/>
            <w:r w:rsidRPr="001A30FD">
              <w:rPr>
                <w:sz w:val="18"/>
                <w:szCs w:val="18"/>
              </w:rPr>
              <w:t>- 20 планшет в упаковке по 2 теста в планшете;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2. Контрольная сыворотка; </w:t>
            </w:r>
            <w:proofErr w:type="spellStart"/>
            <w:r w:rsidRPr="001A30FD">
              <w:rPr>
                <w:sz w:val="18"/>
                <w:szCs w:val="18"/>
              </w:rPr>
              <w:t>лиофилизированнаяаллоантисыворотка</w:t>
            </w:r>
            <w:proofErr w:type="spellEnd"/>
            <w:r w:rsidRPr="001A30FD">
              <w:rPr>
                <w:sz w:val="18"/>
                <w:szCs w:val="18"/>
              </w:rPr>
              <w:t xml:space="preserve"> к HLA (используется в лунках для положительного и отрицательного контроля) 10х 0.2 мл (восстановленный объем);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3. Стерильная </w:t>
            </w:r>
            <w:proofErr w:type="spellStart"/>
            <w:r w:rsidRPr="001A30FD">
              <w:rPr>
                <w:sz w:val="18"/>
                <w:szCs w:val="18"/>
              </w:rPr>
              <w:t>деионизированная</w:t>
            </w:r>
            <w:proofErr w:type="spellEnd"/>
            <w:r w:rsidRPr="001A30FD">
              <w:rPr>
                <w:sz w:val="18"/>
                <w:szCs w:val="18"/>
              </w:rPr>
              <w:t xml:space="preserve"> вода (используется для восстановления контрольной сыворотки) 1 мл;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4. Щелочная фосфатаза (AP) конъюгированная с </w:t>
            </w:r>
            <w:proofErr w:type="spellStart"/>
            <w:r w:rsidRPr="001A30FD">
              <w:rPr>
                <w:sz w:val="18"/>
                <w:szCs w:val="18"/>
              </w:rPr>
              <w:t>IgG</w:t>
            </w:r>
            <w:proofErr w:type="spellEnd"/>
            <w:r w:rsidRPr="001A30FD">
              <w:rPr>
                <w:sz w:val="18"/>
                <w:szCs w:val="18"/>
              </w:rPr>
              <w:t xml:space="preserve"> человека 100X 0,3мл;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5. Разбавитель для антител 1х 50мл;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6. Промывочный буфер 10х 125мл;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7. Субстрат для колориметрического определения фермента: BCIP, </w:t>
            </w:r>
            <w:proofErr w:type="spellStart"/>
            <w:proofErr w:type="gramStart"/>
            <w:r w:rsidRPr="001A30FD">
              <w:rPr>
                <w:sz w:val="18"/>
                <w:szCs w:val="18"/>
              </w:rPr>
              <w:t>компо-ненты</w:t>
            </w:r>
            <w:proofErr w:type="spellEnd"/>
            <w:proofErr w:type="gramEnd"/>
            <w:r w:rsidRPr="001A30FD">
              <w:rPr>
                <w:sz w:val="18"/>
                <w:szCs w:val="18"/>
              </w:rPr>
              <w:t xml:space="preserve"> A и B (</w:t>
            </w:r>
            <w:proofErr w:type="spellStart"/>
            <w:r w:rsidRPr="001A30FD">
              <w:rPr>
                <w:sz w:val="18"/>
                <w:szCs w:val="18"/>
              </w:rPr>
              <w:t>BluePhos</w:t>
            </w:r>
            <w:proofErr w:type="spellEnd"/>
            <w:r w:rsidRPr="001A30FD">
              <w:rPr>
                <w:sz w:val="18"/>
                <w:szCs w:val="18"/>
              </w:rPr>
              <w:t>™ от KPL) 1х каждый флакон 15мл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A30FD">
              <w:rPr>
                <w:sz w:val="18"/>
                <w:szCs w:val="18"/>
              </w:rPr>
              <w:t>Стоп-реагент</w:t>
            </w:r>
            <w:proofErr w:type="spellEnd"/>
            <w:proofErr w:type="gramEnd"/>
            <w:r w:rsidRPr="001A30FD">
              <w:rPr>
                <w:sz w:val="18"/>
                <w:szCs w:val="18"/>
              </w:rPr>
              <w:t xml:space="preserve"> 1х 25мл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 xml:space="preserve">8. </w:t>
            </w:r>
            <w:proofErr w:type="spellStart"/>
            <w:r w:rsidRPr="001A30FD">
              <w:rPr>
                <w:sz w:val="18"/>
                <w:szCs w:val="18"/>
              </w:rPr>
              <w:t>Инстркуция</w:t>
            </w:r>
            <w:proofErr w:type="spellEnd"/>
            <w:r w:rsidRPr="001A30FD">
              <w:rPr>
                <w:sz w:val="18"/>
                <w:szCs w:val="18"/>
              </w:rPr>
              <w:t xml:space="preserve"> по применению на русском и казахском языках.</w:t>
            </w: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Эксплуатационная характеристика: хранить и транспортировать все реагенты при температуре + 2-+5оС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  <w:p w:rsidR="00DF7C65" w:rsidRPr="001A30FD" w:rsidRDefault="00DF7C65" w:rsidP="00CF11A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1A30FD">
              <w:rPr>
                <w:bCs/>
                <w:sz w:val="18"/>
                <w:szCs w:val="18"/>
                <w:lang w:val="kk-KZ"/>
              </w:rPr>
              <w:t>1 753 436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jc w:val="center"/>
              <w:rPr>
                <w:sz w:val="18"/>
                <w:szCs w:val="18"/>
              </w:rPr>
            </w:pPr>
          </w:p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1753436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65" w:rsidRPr="001A30FD" w:rsidRDefault="00DF7C65" w:rsidP="00CF11A0">
            <w:pPr>
              <w:rPr>
                <w:sz w:val="18"/>
                <w:szCs w:val="18"/>
              </w:rPr>
            </w:pPr>
            <w:r w:rsidRPr="001A30FD">
              <w:rPr>
                <w:sz w:val="18"/>
                <w:szCs w:val="18"/>
              </w:rPr>
              <w:t>в течение 10 -</w:t>
            </w:r>
            <w:proofErr w:type="spellStart"/>
            <w:r w:rsidRPr="001A30FD">
              <w:rPr>
                <w:sz w:val="18"/>
                <w:szCs w:val="18"/>
              </w:rPr>
              <w:t>ти</w:t>
            </w:r>
            <w:proofErr w:type="spellEnd"/>
            <w:r w:rsidRPr="001A30FD">
              <w:rPr>
                <w:sz w:val="18"/>
                <w:szCs w:val="18"/>
              </w:rPr>
              <w:t xml:space="preserve"> календарных дней со дня получения заявки от Заказчика в течение 2022 года  </w:t>
            </w:r>
          </w:p>
        </w:tc>
      </w:tr>
    </w:tbl>
    <w:p w:rsidR="00DF7C65" w:rsidRPr="00212A4A" w:rsidRDefault="00DF7C65" w:rsidP="00DF7C65">
      <w:pPr>
        <w:ind w:firstLine="708"/>
        <w:jc w:val="both"/>
      </w:pPr>
    </w:p>
    <w:p w:rsidR="004342F2" w:rsidRDefault="00F614AD" w:rsidP="0043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2F2">
        <w:rPr>
          <w:rFonts w:ascii="Times New Roman" w:hAnsi="Times New Roman" w:cs="Times New Roman"/>
          <w:bCs/>
          <w:sz w:val="24"/>
          <w:szCs w:val="24"/>
        </w:rPr>
        <w:t>ТОО «</w:t>
      </w:r>
      <w:r w:rsidR="00DF7C65">
        <w:rPr>
          <w:rFonts w:ascii="Times New Roman" w:hAnsi="Times New Roman" w:cs="Times New Roman"/>
          <w:bCs/>
          <w:sz w:val="24"/>
          <w:szCs w:val="24"/>
          <w:lang w:val="en-US"/>
        </w:rPr>
        <w:t>OPTONIC</w:t>
      </w:r>
      <w:r w:rsidR="004342F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DF7C65">
        <w:rPr>
          <w:rFonts w:ascii="Times New Roman" w:hAnsi="Times New Roman" w:cs="Times New Roman"/>
          <w:bCs/>
          <w:sz w:val="24"/>
          <w:szCs w:val="24"/>
        </w:rPr>
        <w:t xml:space="preserve">010000, </w:t>
      </w:r>
      <w:r w:rsidR="004342F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DF7C65">
        <w:rPr>
          <w:rFonts w:ascii="Times New Roman" w:hAnsi="Times New Roman" w:cs="Times New Roman"/>
          <w:bCs/>
          <w:sz w:val="24"/>
          <w:szCs w:val="24"/>
        </w:rPr>
        <w:t xml:space="preserve">Астана, улица </w:t>
      </w:r>
      <w:proofErr w:type="spellStart"/>
      <w:r w:rsidR="00DF7C65">
        <w:rPr>
          <w:rFonts w:ascii="Times New Roman" w:hAnsi="Times New Roman" w:cs="Times New Roman"/>
          <w:bCs/>
          <w:sz w:val="24"/>
          <w:szCs w:val="24"/>
        </w:rPr>
        <w:t>Керей</w:t>
      </w:r>
      <w:proofErr w:type="spellEnd"/>
      <w:r w:rsidR="00DF7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7C65">
        <w:rPr>
          <w:rFonts w:ascii="Times New Roman" w:hAnsi="Times New Roman" w:cs="Times New Roman"/>
          <w:bCs/>
          <w:sz w:val="24"/>
          <w:szCs w:val="24"/>
        </w:rPr>
        <w:t>Жанибек</w:t>
      </w:r>
      <w:proofErr w:type="spellEnd"/>
      <w:r w:rsidR="00DF7C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7C65">
        <w:rPr>
          <w:rFonts w:ascii="Times New Roman" w:hAnsi="Times New Roman" w:cs="Times New Roman"/>
          <w:bCs/>
          <w:sz w:val="24"/>
          <w:szCs w:val="24"/>
        </w:rPr>
        <w:t>Хандар</w:t>
      </w:r>
      <w:proofErr w:type="spellEnd"/>
      <w:r w:rsidR="00DF7C65">
        <w:rPr>
          <w:rFonts w:ascii="Times New Roman" w:hAnsi="Times New Roman" w:cs="Times New Roman"/>
          <w:bCs/>
          <w:sz w:val="24"/>
          <w:szCs w:val="24"/>
        </w:rPr>
        <w:t>, дом 5 , н.п. 47</w:t>
      </w:r>
    </w:p>
    <w:p w:rsidR="004342F2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На  основании п.145 Главы 11 были предоставлены следующие документы: </w:t>
      </w:r>
    </w:p>
    <w:p w:rsidR="004342F2" w:rsidRDefault="00A35F8C" w:rsidP="004342F2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4342F2" w:rsidRDefault="00C42A9D" w:rsidP="004342F2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42F2">
        <w:rPr>
          <w:rFonts w:ascii="Times New Roman" w:hAnsi="Times New Roman" w:cs="Times New Roman"/>
          <w:bCs/>
          <w:sz w:val="24"/>
          <w:szCs w:val="24"/>
        </w:rPr>
        <w:t>Разместить протокол</w:t>
      </w:r>
      <w:proofErr w:type="gramEnd"/>
      <w:r w:rsidRPr="004342F2">
        <w:rPr>
          <w:rFonts w:ascii="Times New Roman" w:hAnsi="Times New Roman" w:cs="Times New Roman"/>
          <w:bCs/>
          <w:sz w:val="24"/>
          <w:szCs w:val="24"/>
        </w:rPr>
        <w:t xml:space="preserve"> итогов способом из одного источника на </w:t>
      </w:r>
      <w:proofErr w:type="spellStart"/>
      <w:r w:rsidR="00A35F8C" w:rsidRPr="004342F2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4342F2">
        <w:rPr>
          <w:rFonts w:ascii="Times New Roman" w:hAnsi="Times New Roman" w:cs="Times New Roman"/>
          <w:bCs/>
          <w:sz w:val="24"/>
          <w:szCs w:val="24"/>
        </w:rPr>
        <w:t xml:space="preserve"> и заключить договор с </w:t>
      </w:r>
      <w:r w:rsidR="004342F2">
        <w:rPr>
          <w:rFonts w:ascii="Times New Roman" w:hAnsi="Times New Roman" w:cs="Times New Roman"/>
          <w:bCs/>
          <w:sz w:val="24"/>
          <w:szCs w:val="24"/>
        </w:rPr>
        <w:t>ТОО «</w:t>
      </w:r>
      <w:r w:rsidR="00DF7C65">
        <w:rPr>
          <w:rFonts w:ascii="Times New Roman" w:hAnsi="Times New Roman" w:cs="Times New Roman"/>
          <w:bCs/>
          <w:sz w:val="24"/>
          <w:szCs w:val="24"/>
          <w:lang w:val="en-US"/>
        </w:rPr>
        <w:t>OPTONIC</w:t>
      </w:r>
      <w:r w:rsidR="004342F2">
        <w:rPr>
          <w:rFonts w:ascii="Times New Roman" w:hAnsi="Times New Roman" w:cs="Times New Roman"/>
          <w:bCs/>
          <w:sz w:val="24"/>
          <w:szCs w:val="24"/>
        </w:rPr>
        <w:t>»</w:t>
      </w: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5F8C" w:rsidRPr="004342F2">
        <w:rPr>
          <w:rFonts w:ascii="Times New Roman" w:hAnsi="Times New Roman" w:cs="Times New Roman"/>
          <w:bCs/>
          <w:sz w:val="24"/>
          <w:szCs w:val="24"/>
        </w:rPr>
        <w:t>на сумму</w:t>
      </w:r>
      <w:r w:rsidR="00AF773D">
        <w:rPr>
          <w:rFonts w:ascii="Times New Roman" w:hAnsi="Times New Roman" w:cs="Times New Roman"/>
          <w:bCs/>
          <w:sz w:val="24"/>
          <w:szCs w:val="24"/>
        </w:rPr>
        <w:t xml:space="preserve"> 19 323 886</w:t>
      </w:r>
      <w:r w:rsidR="00A35F8C" w:rsidRPr="004342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773D">
        <w:rPr>
          <w:rFonts w:ascii="Times New Roman" w:hAnsi="Times New Roman" w:cs="Times New Roman"/>
          <w:bCs/>
          <w:sz w:val="24"/>
          <w:szCs w:val="24"/>
        </w:rPr>
        <w:t>Девятнадцать миллионов триста двадцать три тысячи восемьсот восемьдесят шесть</w:t>
      </w:r>
      <w:r w:rsidR="00A35F8C" w:rsidRPr="004342F2">
        <w:rPr>
          <w:rFonts w:ascii="Times New Roman" w:hAnsi="Times New Roman" w:cs="Times New Roman"/>
          <w:bCs/>
          <w:sz w:val="24"/>
          <w:szCs w:val="24"/>
        </w:rPr>
        <w:t>) тенге на основании главы 13 настоящих Правил</w:t>
      </w:r>
      <w:r w:rsidRPr="004342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14AD" w:rsidRPr="00C42A9D" w:rsidRDefault="00F614AD" w:rsidP="00434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AF773D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D747F"/>
    <w:rsid w:val="00BE5AFC"/>
    <w:rsid w:val="00BF699F"/>
    <w:rsid w:val="00C11C46"/>
    <w:rsid w:val="00C414C3"/>
    <w:rsid w:val="00C42A9D"/>
    <w:rsid w:val="00C56A6B"/>
    <w:rsid w:val="00C65BDA"/>
    <w:rsid w:val="00CE0E5B"/>
    <w:rsid w:val="00CE1160"/>
    <w:rsid w:val="00D7563E"/>
    <w:rsid w:val="00DF6AC1"/>
    <w:rsid w:val="00DF7C65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paragraph" w:styleId="1">
    <w:name w:val="heading 1"/>
    <w:basedOn w:val="a"/>
    <w:next w:val="a"/>
    <w:link w:val="10"/>
    <w:uiPriority w:val="9"/>
    <w:qFormat/>
    <w:rsid w:val="00DF7C65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7</cp:revision>
  <cp:lastPrinted>2023-01-24T15:47:00Z</cp:lastPrinted>
  <dcterms:created xsi:type="dcterms:W3CDTF">2023-01-24T14:37:00Z</dcterms:created>
  <dcterms:modified xsi:type="dcterms:W3CDTF">2023-01-24T15:52:00Z</dcterms:modified>
</cp:coreProperties>
</file>